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05" w:rsidRPr="00DE1B07" w:rsidRDefault="001349CA" w:rsidP="00770A05">
      <w:pPr>
        <w:rPr>
          <w:b/>
          <w:color w:val="365F91"/>
          <w:sz w:val="32"/>
          <w:szCs w:val="32"/>
        </w:rPr>
      </w:pPr>
      <w:bookmarkStart w:id="0" w:name="_Toc328753156"/>
      <w:bookmarkStart w:id="1" w:name="_GoBack"/>
      <w:bookmarkEnd w:id="1"/>
      <w:r w:rsidRPr="00DE1B07">
        <w:rPr>
          <w:b/>
          <w:color w:val="365F91"/>
          <w:sz w:val="32"/>
          <w:szCs w:val="32"/>
        </w:rPr>
        <w:t xml:space="preserve">Allegato </w:t>
      </w:r>
      <w:r w:rsidR="00C94B9A">
        <w:rPr>
          <w:b/>
          <w:color w:val="365F91"/>
          <w:sz w:val="32"/>
          <w:szCs w:val="32"/>
        </w:rPr>
        <w:t>10</w:t>
      </w:r>
      <w:r w:rsidRPr="00DE1B07">
        <w:rPr>
          <w:b/>
          <w:color w:val="365F91"/>
          <w:sz w:val="32"/>
          <w:szCs w:val="32"/>
        </w:rPr>
        <w:t>_</w:t>
      </w:r>
      <w:r w:rsidR="00770A05" w:rsidRPr="00DE1B07">
        <w:rPr>
          <w:b/>
          <w:color w:val="365F91"/>
          <w:sz w:val="32"/>
          <w:szCs w:val="32"/>
        </w:rPr>
        <w:t>Schema di offerta economica</w:t>
      </w:r>
      <w:bookmarkEnd w:id="0"/>
    </w:p>
    <w:p w:rsidR="0039730A" w:rsidRPr="0039730A" w:rsidRDefault="00C83C27" w:rsidP="0039730A">
      <w:pPr>
        <w:spacing w:before="240" w:after="240"/>
        <w:ind w:left="1134" w:hanging="1134"/>
        <w:rPr>
          <w:rFonts w:cs="Calibri"/>
          <w:b/>
          <w:bCs/>
          <w:sz w:val="22"/>
        </w:rPr>
      </w:pPr>
      <w:r w:rsidRPr="00B742B5">
        <w:rPr>
          <w:b/>
          <w:szCs w:val="20"/>
        </w:rPr>
        <w:t>OGGETTO:</w:t>
      </w:r>
      <w:r w:rsidRPr="00D71EB4">
        <w:rPr>
          <w:szCs w:val="20"/>
        </w:rPr>
        <w:t xml:space="preserve"> </w:t>
      </w:r>
      <w:r w:rsidRPr="00D71EB4">
        <w:rPr>
          <w:szCs w:val="20"/>
        </w:rPr>
        <w:tab/>
      </w:r>
      <w:bookmarkStart w:id="2" w:name="_Hlk144457619"/>
      <w:r w:rsidR="00CF6412" w:rsidRPr="00CF6412">
        <w:rPr>
          <w:rFonts w:cs="Calibri"/>
          <w:b/>
          <w:bCs/>
          <w:sz w:val="22"/>
        </w:rPr>
        <w:t>Procedura negoziata senza bando, ai sensi dell’art. 50 co.1 lett e) e 108, comma 1. del Dlgs 36/2023, per la acquisizione di Sistemi per Immobilizzazione del paziente per Radioterapia, comprensivi di Assistenza Tecnica Full Risk e Assistenza Specialistica, per tutta la durata della garanzia (24 mesi).</w:t>
      </w:r>
    </w:p>
    <w:bookmarkEnd w:id="2"/>
    <w:p w:rsidR="007258D1" w:rsidRPr="007258D1" w:rsidRDefault="007258D1" w:rsidP="007258D1">
      <w:pPr>
        <w:spacing w:before="240" w:after="240"/>
        <w:ind w:left="1134" w:hanging="1134"/>
        <w:rPr>
          <w:rFonts w:cs="Calibri"/>
          <w:b/>
          <w:bCs/>
          <w:szCs w:val="20"/>
        </w:rPr>
      </w:pPr>
    </w:p>
    <w:p w:rsidR="00C83C27" w:rsidRDefault="00C83C27" w:rsidP="00A51A31">
      <w:pPr>
        <w:tabs>
          <w:tab w:val="left" w:pos="1206"/>
        </w:tabs>
        <w:spacing w:before="240" w:after="240"/>
        <w:ind w:left="1134" w:hanging="1134"/>
        <w:rPr>
          <w:b/>
          <w:szCs w:val="20"/>
        </w:rPr>
      </w:pPr>
      <w:r w:rsidRPr="00241AF7">
        <w:rPr>
          <w:b/>
          <w:szCs w:val="20"/>
        </w:rPr>
        <w:t>CIG</w:t>
      </w:r>
      <w:r>
        <w:rPr>
          <w:b/>
          <w:szCs w:val="20"/>
        </w:rPr>
        <w:t xml:space="preserve"> </w:t>
      </w:r>
      <w:r w:rsidR="00A51A31">
        <w:rPr>
          <w:b/>
          <w:szCs w:val="20"/>
        </w:rPr>
        <w:tab/>
      </w:r>
    </w:p>
    <w:p w:rsidR="00BD01D2" w:rsidRDefault="00BD01D2" w:rsidP="00A51A31">
      <w:pPr>
        <w:tabs>
          <w:tab w:val="left" w:pos="1206"/>
        </w:tabs>
        <w:spacing w:before="240" w:after="240"/>
        <w:ind w:left="1134" w:hanging="1134"/>
        <w:rPr>
          <w:b/>
          <w:szCs w:val="20"/>
        </w:rPr>
      </w:pPr>
      <w:r>
        <w:rPr>
          <w:b/>
          <w:szCs w:val="20"/>
        </w:rPr>
        <w:t>Lott</w:t>
      </w:r>
      <w:r w:rsidR="00A71863">
        <w:rPr>
          <w:b/>
          <w:szCs w:val="20"/>
        </w:rPr>
        <w:t>o</w:t>
      </w:r>
      <w:r>
        <w:rPr>
          <w:b/>
          <w:szCs w:val="20"/>
        </w:rPr>
        <w:tab/>
      </w:r>
    </w:p>
    <w:p w:rsidR="00770A05" w:rsidRPr="00A40402" w:rsidRDefault="00770A05" w:rsidP="00806901">
      <w:pPr>
        <w:spacing w:before="0"/>
        <w:ind w:left="5812"/>
        <w:rPr>
          <w:rFonts w:cs="Verdana"/>
        </w:rPr>
      </w:pPr>
      <w:r w:rsidRPr="00A40402">
        <w:rPr>
          <w:rFonts w:cs="Verdana"/>
        </w:rPr>
        <w:t>Spett.le</w:t>
      </w:r>
    </w:p>
    <w:p w:rsidR="00770A05" w:rsidRPr="00A40402" w:rsidRDefault="00770A05" w:rsidP="00985AB4">
      <w:pPr>
        <w:spacing w:before="0"/>
        <w:ind w:left="5812"/>
        <w:rPr>
          <w:rFonts w:cs="Verdana"/>
        </w:rPr>
      </w:pPr>
      <w:r w:rsidRPr="00A40402">
        <w:rPr>
          <w:rFonts w:cs="Verdana"/>
        </w:rPr>
        <w:t>IRCCS Istituto Tumori “Giovanni Paolo II”</w:t>
      </w:r>
    </w:p>
    <w:p w:rsidR="00770A05" w:rsidRPr="00A40402" w:rsidRDefault="00770A05" w:rsidP="00985AB4">
      <w:pPr>
        <w:spacing w:before="0"/>
        <w:ind w:left="5812"/>
        <w:rPr>
          <w:rFonts w:cs="Verdana"/>
        </w:rPr>
      </w:pPr>
      <w:r w:rsidRPr="00A40402">
        <w:rPr>
          <w:rFonts w:cs="Verdana"/>
        </w:rPr>
        <w:t>Viale Orazio Flacco, 65</w:t>
      </w:r>
    </w:p>
    <w:p w:rsidR="00770A05" w:rsidRPr="00A40402" w:rsidRDefault="00770A05" w:rsidP="00985AB4">
      <w:pPr>
        <w:spacing w:before="0"/>
        <w:ind w:left="5812"/>
        <w:rPr>
          <w:rFonts w:cs="Verdana"/>
        </w:rPr>
      </w:pPr>
      <w:r w:rsidRPr="00A40402">
        <w:rPr>
          <w:rFonts w:cs="Verdana"/>
        </w:rPr>
        <w:t>70124 Bari</w:t>
      </w:r>
    </w:p>
    <w:p w:rsidR="00770A05" w:rsidRPr="00EB3CF3" w:rsidRDefault="00770A05" w:rsidP="00770A05">
      <w:pPr>
        <w:widowControl w:val="0"/>
        <w:autoSpaceDE w:val="0"/>
        <w:autoSpaceDN w:val="0"/>
        <w:adjustRightInd w:val="0"/>
        <w:spacing w:after="240"/>
        <w:rPr>
          <w:rFonts w:cs="Courier New"/>
          <w:szCs w:val="20"/>
        </w:rPr>
      </w:pPr>
      <w:r>
        <w:rPr>
          <w:rFonts w:cs="Courier New"/>
          <w:szCs w:val="20"/>
        </w:rPr>
        <w:t xml:space="preserve">Il sottoscritto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38"/>
        <w:gridCol w:w="622"/>
        <w:gridCol w:w="1358"/>
        <w:gridCol w:w="1080"/>
        <w:gridCol w:w="1449"/>
        <w:gridCol w:w="891"/>
        <w:gridCol w:w="282"/>
        <w:gridCol w:w="286"/>
        <w:gridCol w:w="2312"/>
      </w:tblGrid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Sig.a/Sig.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Nata/o 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il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</w:tr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Domiciliato a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 xml:space="preserve">in  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</w:tr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2" w:type="dxa"/>
            <w:tcBorders>
              <w:lef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CAP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622" w:type="dxa"/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Tel.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fax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  <w:tc>
          <w:tcPr>
            <w:tcW w:w="891" w:type="dxa"/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C.Fisc.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</w:tr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gridSpan w:val="5"/>
            <w:tcBorders>
              <w:lef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 xml:space="preserve">Nella sua qualità di  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</w:tr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gridSpan w:val="5"/>
            <w:tcBorders>
              <w:lef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C66F92">
              <w:rPr>
                <w:szCs w:val="20"/>
              </w:rPr>
              <w:t>della Ditta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</w:tr>
      <w:tr w:rsidR="00770A05" w:rsidRPr="00C66F92" w:rsidTr="00E40E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  <w:r w:rsidRPr="00EB3CF3">
              <w:rPr>
                <w:rFonts w:cs="Courier New"/>
                <w:szCs w:val="20"/>
              </w:rPr>
              <w:t>iscritta all’anagrafe tributaria con il cod</w:t>
            </w:r>
            <w:r>
              <w:rPr>
                <w:rFonts w:cs="Courier New"/>
                <w:szCs w:val="20"/>
              </w:rPr>
              <w:t>.</w:t>
            </w:r>
            <w:r w:rsidRPr="00EB3CF3">
              <w:rPr>
                <w:rFonts w:cs="Courier New"/>
                <w:szCs w:val="20"/>
              </w:rPr>
              <w:t xml:space="preserve"> fisc</w:t>
            </w:r>
            <w:r>
              <w:rPr>
                <w:rFonts w:cs="Courier New"/>
                <w:szCs w:val="20"/>
              </w:rPr>
              <w:t>./</w:t>
            </w:r>
            <w:r w:rsidRPr="00EB3CF3">
              <w:rPr>
                <w:rFonts w:cs="Courier New"/>
                <w:szCs w:val="20"/>
              </w:rPr>
              <w:t>p</w:t>
            </w:r>
            <w:r>
              <w:rPr>
                <w:rFonts w:cs="Courier New"/>
                <w:szCs w:val="20"/>
              </w:rPr>
              <w:t xml:space="preserve">. </w:t>
            </w:r>
            <w:r w:rsidRPr="00EB3CF3">
              <w:rPr>
                <w:rFonts w:cs="Courier New"/>
                <w:szCs w:val="20"/>
              </w:rPr>
              <w:t>IVA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05" w:rsidRPr="00C66F92" w:rsidRDefault="00770A05" w:rsidP="00E40EDB">
            <w:pPr>
              <w:jc w:val="right"/>
              <w:rPr>
                <w:szCs w:val="20"/>
              </w:rPr>
            </w:pPr>
          </w:p>
        </w:tc>
      </w:tr>
    </w:tbl>
    <w:p w:rsidR="00770A05" w:rsidRPr="003A23F7" w:rsidRDefault="00770A05" w:rsidP="00770A05">
      <w:pPr>
        <w:pStyle w:val="CM27"/>
        <w:spacing w:before="240" w:after="120" w:line="236" w:lineRule="atLeast"/>
        <w:jc w:val="both"/>
        <w:rPr>
          <w:rFonts w:ascii="Calibri" w:hAnsi="Calibri"/>
          <w:color w:val="000000"/>
          <w:sz w:val="18"/>
          <w:szCs w:val="18"/>
        </w:rPr>
      </w:pPr>
      <w:r w:rsidRPr="003A23F7">
        <w:rPr>
          <w:rFonts w:ascii="Calibri" w:hAnsi="Calibri"/>
          <w:color w:val="000000"/>
          <w:sz w:val="18"/>
          <w:szCs w:val="18"/>
        </w:rPr>
        <w:t xml:space="preserve">Ai sensi degli articoli 46 e 47 del D.P.R. 28 dicembre 2000, n. 445 e s.m., consapevole del fatto che, in caso di mendace dichiarazione, verranno applicate nei suoi riguardi, ai sensi dell’art. 76 del medesimo decreto, le sanzioni previste dal codice penale e dalle leggi speciali in materia di falsità negli atti e dichiarazioni mendaci </w:t>
      </w:r>
    </w:p>
    <w:p w:rsidR="00770A05" w:rsidRPr="00DE1B07" w:rsidRDefault="00770A05" w:rsidP="00770A05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cs="Courier New"/>
          <w:b/>
          <w:bCs/>
          <w:color w:val="365F91"/>
          <w:szCs w:val="20"/>
        </w:rPr>
      </w:pPr>
      <w:r w:rsidRPr="00DE1B07">
        <w:rPr>
          <w:rFonts w:cs="Courier New"/>
          <w:b/>
          <w:bCs/>
          <w:color w:val="365F91"/>
          <w:szCs w:val="20"/>
        </w:rPr>
        <w:t>DICHIARA</w:t>
      </w:r>
    </w:p>
    <w:p w:rsidR="00770A05" w:rsidRPr="003A23F7" w:rsidRDefault="00770A05" w:rsidP="00770A0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3A23F7">
        <w:rPr>
          <w:rFonts w:cs="Courier New"/>
          <w:sz w:val="18"/>
          <w:szCs w:val="18"/>
        </w:rPr>
        <w:t xml:space="preserve">di avere esaminato gli elaborati </w:t>
      </w:r>
      <w:r>
        <w:rPr>
          <w:rFonts w:cs="Courier New"/>
          <w:sz w:val="18"/>
          <w:szCs w:val="18"/>
        </w:rPr>
        <w:t>di gara</w:t>
      </w:r>
      <w:r w:rsidRPr="003A23F7">
        <w:rPr>
          <w:rFonts w:cs="Courier New"/>
          <w:sz w:val="18"/>
          <w:szCs w:val="18"/>
        </w:rPr>
        <w:t xml:space="preserve">, di essersi recato sul luogo dove debbono eseguirsi </w:t>
      </w:r>
      <w:r>
        <w:rPr>
          <w:rFonts w:cs="Courier New"/>
          <w:sz w:val="18"/>
          <w:szCs w:val="18"/>
        </w:rPr>
        <w:t>le forniture</w:t>
      </w:r>
      <w:r w:rsidRPr="003A23F7">
        <w:rPr>
          <w:rFonts w:cs="Courier New"/>
          <w:sz w:val="18"/>
          <w:szCs w:val="18"/>
        </w:rPr>
        <w:t xml:space="preserve">, di aver preso conoscenza delle condizioni locali, della viabilità di accesso, nonché di tutte le circostanze generali e particolari suscettibili di influire sulla determinazione dei prezzi e delle condizioni contrattuali in genere che possono influire sull’esecuzione delle </w:t>
      </w:r>
      <w:r>
        <w:rPr>
          <w:rFonts w:cs="Courier New"/>
          <w:sz w:val="18"/>
          <w:szCs w:val="18"/>
        </w:rPr>
        <w:t>forniture</w:t>
      </w:r>
      <w:r w:rsidRPr="003A23F7">
        <w:rPr>
          <w:rFonts w:cs="Courier New"/>
          <w:sz w:val="18"/>
          <w:szCs w:val="18"/>
        </w:rPr>
        <w:t xml:space="preserve">, di aver eseguito ponderatamente tutti i calcoli di propria convenienza e di possedere l’attrezzatura e la mano d’opera necessarie per l’esecuzione </w:t>
      </w:r>
      <w:r>
        <w:rPr>
          <w:rFonts w:cs="Courier New"/>
          <w:sz w:val="18"/>
          <w:szCs w:val="18"/>
        </w:rPr>
        <w:t>delle forniture,</w:t>
      </w:r>
      <w:r w:rsidRPr="003A23F7">
        <w:rPr>
          <w:rFonts w:cs="Courier New"/>
          <w:sz w:val="18"/>
          <w:szCs w:val="18"/>
        </w:rPr>
        <w:t xml:space="preserve"> e di aver giudicat</w:t>
      </w:r>
      <w:r>
        <w:rPr>
          <w:rFonts w:cs="Courier New"/>
          <w:sz w:val="18"/>
          <w:szCs w:val="18"/>
        </w:rPr>
        <w:t>o</w:t>
      </w:r>
      <w:r w:rsidRPr="003A23F7">
        <w:rPr>
          <w:rFonts w:cs="Courier New"/>
          <w:sz w:val="18"/>
          <w:szCs w:val="18"/>
        </w:rPr>
        <w:t xml:space="preserve"> </w:t>
      </w:r>
      <w:r>
        <w:rPr>
          <w:rFonts w:cs="Courier New"/>
          <w:sz w:val="18"/>
          <w:szCs w:val="18"/>
        </w:rPr>
        <w:t>le medesime</w:t>
      </w:r>
      <w:r w:rsidRPr="003A23F7">
        <w:rPr>
          <w:rFonts w:cs="Courier New"/>
          <w:sz w:val="18"/>
          <w:szCs w:val="18"/>
        </w:rPr>
        <w:t xml:space="preserve"> realizzabili, gli elaborati </w:t>
      </w:r>
      <w:r>
        <w:rPr>
          <w:rFonts w:cs="Courier New"/>
          <w:sz w:val="18"/>
          <w:szCs w:val="18"/>
        </w:rPr>
        <w:t>di gara</w:t>
      </w:r>
      <w:r w:rsidRPr="003A23F7">
        <w:rPr>
          <w:rFonts w:cs="Courier New"/>
          <w:sz w:val="18"/>
          <w:szCs w:val="18"/>
        </w:rPr>
        <w:t xml:space="preserve"> adeguati e i prezzi nel loro complesso remunerativi e tali da consentire il ribasso offerto;</w:t>
      </w:r>
    </w:p>
    <w:p w:rsidR="00770A05" w:rsidRDefault="00770A05" w:rsidP="007214AC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i/>
          <w:sz w:val="18"/>
          <w:szCs w:val="18"/>
        </w:rPr>
      </w:pPr>
      <w:r w:rsidRPr="003A23F7">
        <w:rPr>
          <w:rFonts w:cs="Courier New"/>
          <w:sz w:val="18"/>
          <w:szCs w:val="18"/>
        </w:rPr>
        <w:t>di aver tenuto conto degli oneri previsti per i piani di sicurezza fisica dei lavoratori (comma 8, art. 18 della legge n. 55/1990 e successive modificazione e integrazioni);</w:t>
      </w:r>
      <w:r w:rsidR="007214AC" w:rsidRPr="007214AC">
        <w:rPr>
          <w:rFonts w:cs="Courier New"/>
          <w:i/>
          <w:sz w:val="18"/>
          <w:szCs w:val="18"/>
        </w:rPr>
        <w:t xml:space="preserve"> di non trovarsi nelle condizioni, di cui alla Legge n. 646/1982, costituenti causa di esclusione dalla possibilità di assumere pubblici appalti;</w:t>
      </w:r>
    </w:p>
    <w:p w:rsidR="007214AC" w:rsidRPr="00DE1B07" w:rsidRDefault="007214AC" w:rsidP="007214AC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cs="Courier New"/>
          <w:b/>
          <w:bCs/>
          <w:color w:val="365F91"/>
          <w:szCs w:val="20"/>
        </w:rPr>
      </w:pPr>
      <w:r w:rsidRPr="00DE1B07">
        <w:rPr>
          <w:rFonts w:cs="Courier New"/>
          <w:b/>
          <w:bCs/>
          <w:color w:val="365F91"/>
          <w:szCs w:val="20"/>
        </w:rPr>
        <w:t>DICHIARA INOLTRE:</w:t>
      </w:r>
    </w:p>
    <w:p w:rsidR="007214AC" w:rsidRPr="00DE1B07" w:rsidRDefault="007214AC" w:rsidP="007214AC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DE1B07">
        <w:rPr>
          <w:rFonts w:cs="Courier New"/>
          <w:sz w:val="18"/>
          <w:szCs w:val="18"/>
        </w:rPr>
        <w:t>che l’offerta è irrevocabile ed impegnativa sino al 180° (centottantesimo) giorno successivo alla data della presentazione della stessa;</w:t>
      </w:r>
    </w:p>
    <w:p w:rsidR="007214AC" w:rsidRPr="00DE1B07" w:rsidRDefault="007214AC" w:rsidP="007214AC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DE1B07">
        <w:rPr>
          <w:rFonts w:cs="Courier New"/>
          <w:sz w:val="18"/>
          <w:szCs w:val="18"/>
        </w:rPr>
        <w:t>di obbligarsi ad adempiere a tutte le obbligazioni previste nella Lettera d’invito e nel Capitolato tecnico della gara;</w:t>
      </w:r>
    </w:p>
    <w:p w:rsidR="007214AC" w:rsidRPr="00DE1B07" w:rsidRDefault="007214AC" w:rsidP="007214AC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DE1B07">
        <w:rPr>
          <w:rFonts w:cs="Courier New"/>
          <w:sz w:val="18"/>
          <w:szCs w:val="18"/>
        </w:rPr>
        <w:t>di aver preso cognizione di tutte le circostanze generali e speciali che possono interessare l’esecuzione di tutte le prestazioni oggetto del contratto e che di tali circostanze ha tenuto conto nella determinazione del prezzo ritenuto remunerativo;</w:t>
      </w:r>
    </w:p>
    <w:p w:rsidR="007214AC" w:rsidRPr="00DE1B07" w:rsidRDefault="007214AC" w:rsidP="007214AC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Courier New"/>
          <w:sz w:val="18"/>
          <w:szCs w:val="18"/>
        </w:rPr>
      </w:pPr>
      <w:r w:rsidRPr="00DE1B07">
        <w:rPr>
          <w:rFonts w:cs="Courier New"/>
          <w:sz w:val="18"/>
          <w:szCs w:val="18"/>
        </w:rPr>
        <w:t>di essere consapevole che:</w:t>
      </w:r>
    </w:p>
    <w:p w:rsidR="007214AC" w:rsidRPr="00DE1B07" w:rsidRDefault="007214AC" w:rsidP="007214AC">
      <w:pPr>
        <w:numPr>
          <w:ilvl w:val="1"/>
          <w:numId w:val="27"/>
        </w:numPr>
        <w:autoSpaceDE w:val="0"/>
        <w:autoSpaceDN w:val="0"/>
        <w:adjustRightInd w:val="0"/>
        <w:rPr>
          <w:sz w:val="18"/>
          <w:szCs w:val="18"/>
        </w:rPr>
      </w:pPr>
      <w:r w:rsidRPr="00DE1B07">
        <w:rPr>
          <w:sz w:val="18"/>
          <w:szCs w:val="18"/>
        </w:rPr>
        <w:t>i termini per l’espletamento della fornitura, come individuati da lettera di invito</w:t>
      </w:r>
      <w:r w:rsidR="006568BB">
        <w:rPr>
          <w:sz w:val="18"/>
          <w:szCs w:val="18"/>
        </w:rPr>
        <w:t>/</w:t>
      </w:r>
      <w:r w:rsidR="006568BB" w:rsidRPr="00DE1B07">
        <w:rPr>
          <w:sz w:val="18"/>
          <w:szCs w:val="18"/>
        </w:rPr>
        <w:t>capitolato, sono</w:t>
      </w:r>
      <w:r w:rsidRPr="00DE1B07">
        <w:rPr>
          <w:sz w:val="18"/>
          <w:szCs w:val="18"/>
        </w:rPr>
        <w:t xml:space="preserve"> da considerarsi a tutti gli effetti essenziali ai sensi dell’articolo 1457 cod. civ.;</w:t>
      </w:r>
    </w:p>
    <w:p w:rsidR="00DE1B07" w:rsidRDefault="007214AC" w:rsidP="007214AC">
      <w:pPr>
        <w:numPr>
          <w:ilvl w:val="1"/>
          <w:numId w:val="27"/>
        </w:numPr>
        <w:autoSpaceDE w:val="0"/>
        <w:autoSpaceDN w:val="0"/>
        <w:adjustRightInd w:val="0"/>
        <w:rPr>
          <w:sz w:val="18"/>
          <w:szCs w:val="18"/>
        </w:rPr>
        <w:sectPr w:rsidR="00DE1B07" w:rsidSect="00B85E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47" w:right="1134" w:bottom="1021" w:left="1276" w:header="227" w:footer="227" w:gutter="0"/>
          <w:cols w:space="708"/>
          <w:docGrid w:linePitch="272"/>
        </w:sectPr>
      </w:pPr>
      <w:r w:rsidRPr="00DE1B07">
        <w:rPr>
          <w:sz w:val="18"/>
          <w:szCs w:val="18"/>
        </w:rPr>
        <w:lastRenderedPageBreak/>
        <w:t>il capitolato tecnico, nonché la offerta tecnica della ditta scrivente, costituiranno parte inscindibile e sostanziale delle obbligazioni che saranno erogate.</w:t>
      </w:r>
    </w:p>
    <w:p w:rsidR="00DE1197" w:rsidRDefault="00770A05" w:rsidP="007745CC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cs="Courier New"/>
          <w:b/>
          <w:bCs/>
          <w:color w:val="365F91"/>
          <w:szCs w:val="20"/>
        </w:rPr>
      </w:pPr>
      <w:r w:rsidRPr="00DE1B07">
        <w:rPr>
          <w:rFonts w:cs="Courier New"/>
          <w:b/>
          <w:bCs/>
          <w:color w:val="365F91"/>
          <w:szCs w:val="20"/>
        </w:rPr>
        <w:lastRenderedPageBreak/>
        <w:t>TUTTO CIO’ PREMESSO, FORMULA LA SEGUENTE OFFERTA ECONOMICA.</w:t>
      </w:r>
    </w:p>
    <w:p w:rsidR="0039730A" w:rsidRPr="00DE1B07" w:rsidRDefault="0039730A" w:rsidP="007745CC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cs="Courier New"/>
          <w:b/>
          <w:bCs/>
          <w:color w:val="365F91"/>
          <w:szCs w:val="20"/>
        </w:rPr>
      </w:pPr>
    </w:p>
    <w:tbl>
      <w:tblPr>
        <w:tblW w:w="1374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231"/>
        <w:gridCol w:w="1813"/>
        <w:gridCol w:w="186"/>
        <w:gridCol w:w="1336"/>
        <w:gridCol w:w="1300"/>
        <w:gridCol w:w="1713"/>
        <w:gridCol w:w="1440"/>
      </w:tblGrid>
      <w:tr w:rsidR="0039730A" w:rsidRPr="00DE1B07" w:rsidTr="0039730A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730A" w:rsidRPr="00DE1B07" w:rsidRDefault="0039730A" w:rsidP="00DE1B0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bookmarkStart w:id="3" w:name="_Hlk160531666"/>
            <w:r>
              <w:rPr>
                <w:rFonts w:cs="Calibri"/>
                <w:b/>
                <w:bCs/>
                <w:color w:val="000000"/>
                <w:szCs w:val="20"/>
              </w:rPr>
              <w:t>Lotto 1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 xml:space="preserve">Lotto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base d'asta</w:t>
            </w:r>
          </w:p>
        </w:tc>
        <w:tc>
          <w:tcPr>
            <w:tcW w:w="5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 xml:space="preserve"> </w:t>
            </w:r>
            <w:r w:rsidRPr="00DE1B07">
              <w:rPr>
                <w:rFonts w:cs="Calibri"/>
                <w:b/>
                <w:bCs/>
                <w:color w:val="000000"/>
                <w:szCs w:val="20"/>
              </w:rPr>
              <w:t>offerta</w:t>
            </w:r>
          </w:p>
        </w:tc>
      </w:tr>
      <w:tr w:rsidR="0039730A" w:rsidRPr="00DE1B07" w:rsidTr="0039730A"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Numero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t</w:t>
            </w:r>
            <w:r w:rsidRPr="00DE1B07">
              <w:rPr>
                <w:rFonts w:cs="Calibri"/>
                <w:b/>
                <w:bCs/>
                <w:color w:val="000000"/>
                <w:szCs w:val="20"/>
              </w:rPr>
              <w:t>otale</w:t>
            </w:r>
            <w:r>
              <w:rPr>
                <w:rFonts w:cs="Calibr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ribasso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offerta in € (prezzo unitario)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offerta in € (prezzo totale)</w:t>
            </w:r>
          </w:p>
        </w:tc>
      </w:tr>
      <w:tr w:rsidR="0039730A" w:rsidRPr="00DE1B07" w:rsidTr="0039730A"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Voci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 xml:space="preserve">fornitura </w:t>
            </w:r>
            <w:r>
              <w:rPr>
                <w:rFonts w:cs="Calibri"/>
                <w:b/>
                <w:bCs/>
                <w:color w:val="000000"/>
                <w:szCs w:val="20"/>
              </w:rPr>
              <w:t>Dispositivi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</w:tr>
      <w:tr w:rsidR="0039730A" w:rsidRPr="00DE1B07" w:rsidTr="0039730A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0A" w:rsidRPr="00E1499C" w:rsidRDefault="0039730A" w:rsidP="00E1499C">
            <w:pPr>
              <w:spacing w:before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E1499C">
              <w:rPr>
                <w:rFonts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12" w:rsidRPr="00CF6412" w:rsidRDefault="00CF6412" w:rsidP="00CF6412">
            <w:pPr>
              <w:numPr>
                <w:ilvl w:val="0"/>
                <w:numId w:val="30"/>
              </w:numPr>
              <w:spacing w:before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CF6412">
              <w:rPr>
                <w:rFonts w:ascii="Arial" w:hAnsi="Arial" w:cs="Arial"/>
                <w:bCs/>
                <w:sz w:val="22"/>
                <w:lang w:val="en-US"/>
              </w:rPr>
              <w:t>sistemi dedicati al distretto torace mammella, di cui n.3 di tipo “posizione inclinata” e n.3 di tipo “Wing-Board”</w:t>
            </w:r>
          </w:p>
          <w:p w:rsidR="0039730A" w:rsidRPr="00CF6412" w:rsidRDefault="0039730A" w:rsidP="00E1499C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0A" w:rsidRPr="00E1499C" w:rsidRDefault="0039730A" w:rsidP="00E1499C">
            <w:pPr>
              <w:spacing w:before="0"/>
              <w:jc w:val="right"/>
              <w:rPr>
                <w:rFonts w:cs="Calibri"/>
                <w:color w:val="000000"/>
                <w:sz w:val="22"/>
              </w:rPr>
            </w:pPr>
            <w:r w:rsidRPr="00FB415C">
              <w:rPr>
                <w:sz w:val="22"/>
              </w:rPr>
              <w:t xml:space="preserve">   </w:t>
            </w:r>
            <w:r>
              <w:rPr>
                <w:sz w:val="22"/>
              </w:rPr>
              <w:t>N.</w:t>
            </w:r>
            <w:r w:rsidR="00CF6412">
              <w:rPr>
                <w:sz w:val="22"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0A" w:rsidRPr="00DE1B07" w:rsidRDefault="0039730A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30A" w:rsidRPr="00DE1B07" w:rsidRDefault="0039730A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CF6412" w:rsidRPr="00DE1B07" w:rsidTr="0039730A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E1499C" w:rsidRDefault="00CF6412" w:rsidP="00E1499C">
            <w:pPr>
              <w:spacing w:before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12" w:rsidRPr="00CF6412" w:rsidRDefault="00CF6412" w:rsidP="00CF6412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lang w:val="en-US"/>
              </w:rPr>
            </w:pPr>
            <w:r w:rsidRPr="00CF6412">
              <w:rPr>
                <w:rFonts w:ascii="Arial" w:hAnsi="Arial" w:cs="Arial"/>
                <w:bCs/>
                <w:sz w:val="22"/>
                <w:lang w:val="en-US"/>
              </w:rPr>
              <w:t>sistemi dedicati al distretto pelvi-addome ed estremita’ in posizione supina</w:t>
            </w:r>
          </w:p>
          <w:p w:rsidR="00CF6412" w:rsidRPr="00CF6412" w:rsidRDefault="00CF6412" w:rsidP="00CF6412">
            <w:pPr>
              <w:numPr>
                <w:ilvl w:val="0"/>
                <w:numId w:val="30"/>
              </w:numPr>
              <w:spacing w:before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12" w:rsidRPr="00FB415C" w:rsidRDefault="00CF6412" w:rsidP="00E1499C">
            <w:pPr>
              <w:spacing w:before="0"/>
              <w:jc w:val="right"/>
              <w:rPr>
                <w:sz w:val="22"/>
              </w:rPr>
            </w:pPr>
            <w:r>
              <w:rPr>
                <w:sz w:val="22"/>
              </w:rPr>
              <w:t>N.3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CF6412" w:rsidRPr="00DE1B07" w:rsidTr="0039730A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E1499C" w:rsidRDefault="00CF6412" w:rsidP="00E1499C">
            <w:pPr>
              <w:spacing w:before="0"/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12" w:rsidRPr="00CF6412" w:rsidRDefault="00CF6412" w:rsidP="00CF6412">
            <w:pPr>
              <w:numPr>
                <w:ilvl w:val="0"/>
                <w:numId w:val="30"/>
              </w:numPr>
              <w:spacing w:before="0"/>
              <w:jc w:val="left"/>
              <w:rPr>
                <w:rFonts w:ascii="Arial" w:hAnsi="Arial" w:cs="Arial"/>
                <w:bCs/>
                <w:sz w:val="22"/>
                <w:lang w:val="en-US"/>
              </w:rPr>
            </w:pPr>
            <w:r w:rsidRPr="00CF6412">
              <w:rPr>
                <w:rFonts w:ascii="Arial" w:hAnsi="Arial" w:cs="Arial"/>
                <w:bCs/>
                <w:sz w:val="22"/>
              </w:rPr>
              <w:t>cuscini a vuoto per ancoraggio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12" w:rsidRPr="00FB415C" w:rsidRDefault="00CF6412" w:rsidP="00E1499C">
            <w:pPr>
              <w:spacing w:before="0"/>
              <w:jc w:val="right"/>
              <w:rPr>
                <w:sz w:val="22"/>
              </w:rPr>
            </w:pPr>
            <w:r>
              <w:rPr>
                <w:sz w:val="22"/>
              </w:rPr>
              <w:t>N.20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12" w:rsidRPr="00DE1B07" w:rsidRDefault="00CF6412" w:rsidP="00E1499C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39730A" w:rsidRPr="00DE1B07" w:rsidTr="0039730A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DE1B07">
              <w:rPr>
                <w:rFonts w:cs="Calibri"/>
                <w:b/>
                <w:bCs/>
                <w:color w:val="000000"/>
                <w:szCs w:val="20"/>
              </w:rPr>
              <w:t>totale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right"/>
              <w:rPr>
                <w:rFonts w:cs="Calibri"/>
                <w:b/>
                <w:bCs/>
                <w:color w:val="000000"/>
                <w:szCs w:val="20"/>
              </w:rPr>
            </w:pPr>
            <w:r w:rsidRPr="00E1499C">
              <w:rPr>
                <w:rFonts w:cs="Calibri"/>
                <w:b/>
                <w:bCs/>
                <w:color w:val="000000"/>
                <w:szCs w:val="20"/>
              </w:rPr>
              <w:t>€</w:t>
            </w:r>
            <w:r>
              <w:rPr>
                <w:rFonts w:cs="Calibri"/>
                <w:b/>
                <w:bCs/>
                <w:color w:val="000000"/>
                <w:szCs w:val="20"/>
              </w:rPr>
              <w:t xml:space="preserve"> </w:t>
            </w:r>
            <w:r w:rsidR="00CF6412">
              <w:rPr>
                <w:rFonts w:cs="Calibri"/>
                <w:b/>
                <w:bCs/>
                <w:color w:val="000000"/>
                <w:szCs w:val="20"/>
              </w:rPr>
              <w:t>70.00</w:t>
            </w:r>
            <w:r w:rsidRPr="00E1499C">
              <w:rPr>
                <w:rFonts w:cs="Calibri"/>
                <w:b/>
                <w:bCs/>
                <w:color w:val="000000"/>
                <w:szCs w:val="20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A" w:rsidRPr="00DE1B07" w:rsidRDefault="0039730A" w:rsidP="00DE1B07">
            <w:pPr>
              <w:spacing w:before="0"/>
              <w:jc w:val="left"/>
              <w:rPr>
                <w:rFonts w:cs="Calibri"/>
                <w:color w:val="000000"/>
                <w:szCs w:val="20"/>
              </w:rPr>
            </w:pPr>
            <w:r w:rsidRPr="00DE1B07">
              <w:rPr>
                <w:rFonts w:cs="Calibri"/>
                <w:color w:val="000000"/>
                <w:szCs w:val="20"/>
              </w:rPr>
              <w:t> </w:t>
            </w:r>
          </w:p>
        </w:tc>
      </w:tr>
    </w:tbl>
    <w:bookmarkEnd w:id="3"/>
    <w:p w:rsidR="00DE1B07" w:rsidRDefault="00DE1B07" w:rsidP="00DE1B07">
      <w:pPr>
        <w:widowControl w:val="0"/>
        <w:autoSpaceDE w:val="0"/>
        <w:autoSpaceDN w:val="0"/>
        <w:adjustRightInd w:val="0"/>
        <w:spacing w:before="360" w:after="240"/>
        <w:jc w:val="center"/>
        <w:rPr>
          <w:rFonts w:cs="Courier New"/>
          <w:b/>
          <w:bCs/>
          <w:color w:val="365F91"/>
          <w:szCs w:val="20"/>
        </w:rPr>
      </w:pPr>
      <w:r w:rsidRPr="00DE1B07">
        <w:rPr>
          <w:rFonts w:cs="Courier New"/>
          <w:b/>
          <w:bCs/>
          <w:color w:val="365F91"/>
          <w:szCs w:val="20"/>
        </w:rPr>
        <w:t>CHIEDE</w:t>
      </w:r>
    </w:p>
    <w:p w:rsidR="00813718" w:rsidRDefault="00813718" w:rsidP="00813718">
      <w:pPr>
        <w:widowControl w:val="0"/>
        <w:autoSpaceDE w:val="0"/>
        <w:autoSpaceDN w:val="0"/>
        <w:adjustRightInd w:val="0"/>
        <w:spacing w:before="360" w:after="240"/>
        <w:rPr>
          <w:rFonts w:cs="Courier New"/>
          <w:b/>
          <w:bCs/>
          <w:color w:val="365F91"/>
          <w:szCs w:val="20"/>
        </w:rPr>
      </w:pPr>
      <w:r>
        <w:rPr>
          <w:rFonts w:cs="Courier New"/>
          <w:b/>
          <w:bCs/>
          <w:color w:val="365F91"/>
          <w:szCs w:val="20"/>
        </w:rPr>
        <w:t>Iva:</w:t>
      </w:r>
    </w:p>
    <w:p w:rsidR="00DE1B07" w:rsidRPr="00E831E5" w:rsidRDefault="00DE1B07" w:rsidP="00DE1B07">
      <w:pPr>
        <w:autoSpaceDE w:val="0"/>
        <w:autoSpaceDN w:val="0"/>
        <w:adjustRightInd w:val="0"/>
      </w:pPr>
      <w:r w:rsidRPr="00E947C4">
        <w:t xml:space="preserve">che il pagamento del corrispettivo contrattuale avvenga sul conto corrente intestato alla _____________, n° _______, presso </w:t>
      </w:r>
      <w:smartTag w:uri="urn:schemas-microsoft-com:office:smarttags" w:element="PersonName">
        <w:smartTagPr>
          <w:attr w:name="ProductID" w:val="la Banca"/>
        </w:smartTagPr>
        <w:r w:rsidRPr="00E947C4">
          <w:t>la Banca</w:t>
        </w:r>
      </w:smartTag>
      <w:r w:rsidRPr="00E947C4">
        <w:t xml:space="preserve"> ____________, Agenzia ____________, Codice ABI __________, Codice CAB ________ IBAN______________________________________</w:t>
      </w:r>
      <w:r>
        <w:t>_____________</w:t>
      </w:r>
    </w:p>
    <w:p w:rsidR="00770A05" w:rsidRPr="00D83630" w:rsidRDefault="00770A05" w:rsidP="00DE1B07">
      <w:pPr>
        <w:spacing w:before="360"/>
        <w:jc w:val="left"/>
      </w:pPr>
      <w:r w:rsidRPr="00D83630">
        <w:t xml:space="preserve">_______________ lì, ____/____/_______ </w:t>
      </w:r>
    </w:p>
    <w:p w:rsidR="00770A05" w:rsidRPr="00D83630" w:rsidRDefault="00770A05" w:rsidP="00770A05">
      <w:pPr>
        <w:ind w:left="5387"/>
        <w:jc w:val="center"/>
      </w:pPr>
      <w:r w:rsidRPr="00D83630">
        <w:t>Il dichiarante</w:t>
      </w:r>
    </w:p>
    <w:p w:rsidR="00770A05" w:rsidRPr="00901671" w:rsidRDefault="00770A05" w:rsidP="00770A05">
      <w:pPr>
        <w:ind w:left="5387"/>
        <w:jc w:val="center"/>
      </w:pPr>
      <w:r w:rsidRPr="00D83630">
        <w:t>_______________________</w:t>
      </w:r>
    </w:p>
    <w:p w:rsidR="001B6115" w:rsidRPr="00BD1745" w:rsidRDefault="001B6115" w:rsidP="00BD1745">
      <w:pPr>
        <w:rPr>
          <w:szCs w:val="20"/>
        </w:rPr>
      </w:pPr>
    </w:p>
    <w:sectPr w:rsidR="001B6115" w:rsidRPr="00BD1745" w:rsidSect="00B85EBF">
      <w:pgSz w:w="16840" w:h="11900" w:orient="landscape"/>
      <w:pgMar w:top="851" w:right="1247" w:bottom="1134" w:left="1021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AD" w:rsidRDefault="00AF61AD" w:rsidP="000D22B3">
      <w:pPr>
        <w:spacing w:before="0"/>
      </w:pPr>
      <w:r>
        <w:separator/>
      </w:r>
    </w:p>
  </w:endnote>
  <w:endnote w:type="continuationSeparator" w:id="0">
    <w:p w:rsidR="00AF61AD" w:rsidRDefault="00AF61AD" w:rsidP="000D22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94" w:rsidRDefault="00900694" w:rsidP="000D22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551126">
      <w:rPr>
        <w:rStyle w:val="Numeropagina"/>
      </w:rPr>
      <w:fldChar w:fldCharType="separate"/>
    </w:r>
    <w:r w:rsidR="0055112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00694" w:rsidRDefault="00900694" w:rsidP="000D22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94" w:rsidRPr="003079CA" w:rsidRDefault="00900694" w:rsidP="000D22B3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3079CA">
      <w:rPr>
        <w:rStyle w:val="Numeropagina"/>
        <w:sz w:val="16"/>
        <w:szCs w:val="16"/>
      </w:rPr>
      <w:fldChar w:fldCharType="begin"/>
    </w:r>
    <w:r w:rsidRPr="003079CA">
      <w:rPr>
        <w:rStyle w:val="Numeropagina"/>
        <w:sz w:val="16"/>
        <w:szCs w:val="16"/>
      </w:rPr>
      <w:instrText xml:space="preserve">PAGE  </w:instrText>
    </w:r>
    <w:r w:rsidRPr="003079CA">
      <w:rPr>
        <w:rStyle w:val="Numeropagina"/>
        <w:sz w:val="16"/>
        <w:szCs w:val="16"/>
      </w:rPr>
      <w:fldChar w:fldCharType="separate"/>
    </w:r>
    <w:r w:rsidR="002B7464">
      <w:rPr>
        <w:rStyle w:val="Numeropagina"/>
        <w:noProof/>
        <w:sz w:val="16"/>
        <w:szCs w:val="16"/>
      </w:rPr>
      <w:t>1</w:t>
    </w:r>
    <w:r w:rsidRPr="003079CA">
      <w:rPr>
        <w:rStyle w:val="Numeropagina"/>
        <w:sz w:val="16"/>
        <w:szCs w:val="16"/>
      </w:rPr>
      <w:fldChar w:fldCharType="end"/>
    </w:r>
  </w:p>
  <w:p w:rsidR="00900694" w:rsidRPr="003079CA" w:rsidRDefault="003079CA" w:rsidP="003079CA">
    <w:pPr>
      <w:pStyle w:val="Pidipagina"/>
      <w:tabs>
        <w:tab w:val="clear" w:pos="4819"/>
        <w:tab w:val="clear" w:pos="9638"/>
        <w:tab w:val="center" w:pos="8388"/>
      </w:tabs>
      <w:jc w:val="left"/>
      <w:rPr>
        <w:b/>
        <w:noProof/>
        <w:color w:val="800000"/>
        <w:sz w:val="16"/>
        <w:szCs w:val="16"/>
        <w:lang w:val="it-IT" w:eastAsia="it-IT"/>
      </w:rPr>
    </w:pPr>
    <w:r w:rsidRPr="003079CA">
      <w:rPr>
        <w:b/>
        <w:noProof/>
        <w:color w:val="800000"/>
        <w:sz w:val="16"/>
        <w:szCs w:val="16"/>
        <w:lang w:val="it-IT" w:eastAsia="it-IT"/>
      </w:rPr>
      <w:t>Modello offerta economica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CA" w:rsidRDefault="003079CA">
    <w:pPr>
      <w:pStyle w:val="Pidipagina"/>
    </w:pPr>
    <w:r>
      <w:t>Modello offerta economica</w:t>
    </w:r>
  </w:p>
  <w:p w:rsidR="003079CA" w:rsidRDefault="00307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AD" w:rsidRDefault="00AF61AD" w:rsidP="000D22B3">
      <w:pPr>
        <w:spacing w:before="0"/>
      </w:pPr>
      <w:r>
        <w:separator/>
      </w:r>
    </w:p>
  </w:footnote>
  <w:footnote w:type="continuationSeparator" w:id="0">
    <w:p w:rsidR="00AF61AD" w:rsidRDefault="00AF61AD" w:rsidP="000D22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CA" w:rsidRDefault="003079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CA" w:rsidRDefault="003079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CA" w:rsidRDefault="003079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B1F"/>
    <w:multiLevelType w:val="hybridMultilevel"/>
    <w:tmpl w:val="702CAB6C"/>
    <w:lvl w:ilvl="0" w:tplc="32124F34">
      <w:start w:val="1"/>
      <w:numFmt w:val="bullet"/>
      <w:lvlText w:val="-"/>
      <w:lvlJc w:val="left"/>
      <w:pPr>
        <w:ind w:left="720" w:hanging="360"/>
      </w:pPr>
      <w:rPr>
        <w:rFonts w:ascii="Edwardian Script ITC" w:eastAsia="Times New Roman" w:hAnsi="Edwardian Script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81C"/>
    <w:multiLevelType w:val="multilevel"/>
    <w:tmpl w:val="21FC1C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  <w:u w:val="none"/>
      </w:rPr>
    </w:lvl>
  </w:abstractNum>
  <w:abstractNum w:abstractNumId="2" w15:restartNumberingAfterBreak="0">
    <w:nsid w:val="084F7C8A"/>
    <w:multiLevelType w:val="hybridMultilevel"/>
    <w:tmpl w:val="34E0E784"/>
    <w:lvl w:ilvl="0" w:tplc="60E6F7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345B3"/>
    <w:multiLevelType w:val="multilevel"/>
    <w:tmpl w:val="3A58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D1EEC"/>
    <w:multiLevelType w:val="multilevel"/>
    <w:tmpl w:val="090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554C1"/>
    <w:multiLevelType w:val="multilevel"/>
    <w:tmpl w:val="5C0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04D50"/>
    <w:multiLevelType w:val="multilevel"/>
    <w:tmpl w:val="8F8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A166A"/>
    <w:multiLevelType w:val="multilevel"/>
    <w:tmpl w:val="510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067EC"/>
    <w:multiLevelType w:val="multilevel"/>
    <w:tmpl w:val="063C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83E14"/>
    <w:multiLevelType w:val="multilevel"/>
    <w:tmpl w:val="B1C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C2B67"/>
    <w:multiLevelType w:val="multilevel"/>
    <w:tmpl w:val="ABC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12EE9"/>
    <w:multiLevelType w:val="hybridMultilevel"/>
    <w:tmpl w:val="4B46155E"/>
    <w:lvl w:ilvl="0" w:tplc="DB2843B0">
      <w:numFmt w:val="bullet"/>
      <w:lvlText w:val="–"/>
      <w:lvlJc w:val="left"/>
      <w:pPr>
        <w:ind w:left="720" w:hanging="360"/>
      </w:pPr>
      <w:rPr>
        <w:rFonts w:ascii="Calibri" w:eastAsia="MS Mincho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599"/>
    <w:multiLevelType w:val="hybridMultilevel"/>
    <w:tmpl w:val="EBB08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965"/>
    <w:multiLevelType w:val="hybridMultilevel"/>
    <w:tmpl w:val="84345BB2"/>
    <w:lvl w:ilvl="0" w:tplc="FF4EF4A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E497D"/>
    <w:multiLevelType w:val="hybridMultilevel"/>
    <w:tmpl w:val="E3FCED50"/>
    <w:lvl w:ilvl="0" w:tplc="FF4EF4A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6A64F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135E6"/>
    <w:multiLevelType w:val="multilevel"/>
    <w:tmpl w:val="F73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86A59"/>
    <w:multiLevelType w:val="hybridMultilevel"/>
    <w:tmpl w:val="D3FE6DFE"/>
    <w:lvl w:ilvl="0" w:tplc="38BABD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6ACF"/>
    <w:multiLevelType w:val="multilevel"/>
    <w:tmpl w:val="8EF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C4288"/>
    <w:multiLevelType w:val="hybridMultilevel"/>
    <w:tmpl w:val="1C1CBA32"/>
    <w:lvl w:ilvl="0" w:tplc="60E6F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dwardian Script ITC" w:eastAsia="Edwardian Script ITC" w:hAnsi="Edwardian Script ITC" w:cs="Edwardian Script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438BA"/>
    <w:multiLevelType w:val="multilevel"/>
    <w:tmpl w:val="F93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D3E38"/>
    <w:multiLevelType w:val="multilevel"/>
    <w:tmpl w:val="572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8739F"/>
    <w:multiLevelType w:val="hybridMultilevel"/>
    <w:tmpl w:val="2E5ABC9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4D7F"/>
    <w:multiLevelType w:val="multilevel"/>
    <w:tmpl w:val="B07E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EE09DA"/>
    <w:multiLevelType w:val="multilevel"/>
    <w:tmpl w:val="34B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F65B5"/>
    <w:multiLevelType w:val="multilevel"/>
    <w:tmpl w:val="3E1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C62A9"/>
    <w:multiLevelType w:val="hybridMultilevel"/>
    <w:tmpl w:val="79588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24D3D"/>
    <w:multiLevelType w:val="multilevel"/>
    <w:tmpl w:val="C83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339D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633B14"/>
    <w:multiLevelType w:val="multilevel"/>
    <w:tmpl w:val="7F42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EF24D4"/>
    <w:multiLevelType w:val="multilevel"/>
    <w:tmpl w:val="33B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0"/>
  </w:num>
  <w:num w:numId="5">
    <w:abstractNumId w:val="19"/>
  </w:num>
  <w:num w:numId="6">
    <w:abstractNumId w:val="29"/>
  </w:num>
  <w:num w:numId="7">
    <w:abstractNumId w:val="17"/>
  </w:num>
  <w:num w:numId="8">
    <w:abstractNumId w:val="22"/>
  </w:num>
  <w:num w:numId="9">
    <w:abstractNumId w:val="3"/>
  </w:num>
  <w:num w:numId="10">
    <w:abstractNumId w:val="28"/>
  </w:num>
  <w:num w:numId="11">
    <w:abstractNumId w:val="7"/>
  </w:num>
  <w:num w:numId="12">
    <w:abstractNumId w:val="9"/>
  </w:num>
  <w:num w:numId="13">
    <w:abstractNumId w:val="26"/>
  </w:num>
  <w:num w:numId="14">
    <w:abstractNumId w:val="6"/>
  </w:num>
  <w:num w:numId="15">
    <w:abstractNumId w:val="20"/>
  </w:num>
  <w:num w:numId="16">
    <w:abstractNumId w:val="5"/>
  </w:num>
  <w:num w:numId="17">
    <w:abstractNumId w:val="24"/>
  </w:num>
  <w:num w:numId="18">
    <w:abstractNumId w:val="4"/>
  </w:num>
  <w:num w:numId="19">
    <w:abstractNumId w:val="27"/>
  </w:num>
  <w:num w:numId="20">
    <w:abstractNumId w:val="1"/>
  </w:num>
  <w:num w:numId="21">
    <w:abstractNumId w:val="23"/>
  </w:num>
  <w:num w:numId="22">
    <w:abstractNumId w:val="15"/>
  </w:num>
  <w:num w:numId="23">
    <w:abstractNumId w:val="2"/>
  </w:num>
  <w:num w:numId="24">
    <w:abstractNumId w:val="8"/>
  </w:num>
  <w:num w:numId="25">
    <w:abstractNumId w:val="11"/>
  </w:num>
  <w:num w:numId="26">
    <w:abstractNumId w:val="13"/>
  </w:num>
  <w:num w:numId="27">
    <w:abstractNumId w:val="14"/>
  </w:num>
  <w:num w:numId="28">
    <w:abstractNumId w:val="25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5"/>
    <w:rsid w:val="00001943"/>
    <w:rsid w:val="00006E09"/>
    <w:rsid w:val="000077E2"/>
    <w:rsid w:val="00014484"/>
    <w:rsid w:val="0002469A"/>
    <w:rsid w:val="0003564E"/>
    <w:rsid w:val="00037298"/>
    <w:rsid w:val="0006123A"/>
    <w:rsid w:val="00066C2F"/>
    <w:rsid w:val="00071CCA"/>
    <w:rsid w:val="00084012"/>
    <w:rsid w:val="00087CA8"/>
    <w:rsid w:val="000960A2"/>
    <w:rsid w:val="000B4F6E"/>
    <w:rsid w:val="000B7A80"/>
    <w:rsid w:val="000C3E3F"/>
    <w:rsid w:val="000D22B3"/>
    <w:rsid w:val="000E5F22"/>
    <w:rsid w:val="000F1E37"/>
    <w:rsid w:val="000F4140"/>
    <w:rsid w:val="001349CA"/>
    <w:rsid w:val="00137D00"/>
    <w:rsid w:val="00141E5A"/>
    <w:rsid w:val="00156072"/>
    <w:rsid w:val="00162580"/>
    <w:rsid w:val="001676B6"/>
    <w:rsid w:val="00170868"/>
    <w:rsid w:val="00170C28"/>
    <w:rsid w:val="00173250"/>
    <w:rsid w:val="00195CD1"/>
    <w:rsid w:val="001976A3"/>
    <w:rsid w:val="001A7793"/>
    <w:rsid w:val="001A7879"/>
    <w:rsid w:val="001B6115"/>
    <w:rsid w:val="001C16BF"/>
    <w:rsid w:val="001D2FE2"/>
    <w:rsid w:val="001D4D3A"/>
    <w:rsid w:val="001E01E7"/>
    <w:rsid w:val="001F74CC"/>
    <w:rsid w:val="00217E7C"/>
    <w:rsid w:val="00236FF4"/>
    <w:rsid w:val="002412E9"/>
    <w:rsid w:val="00242943"/>
    <w:rsid w:val="00251FB5"/>
    <w:rsid w:val="00252E52"/>
    <w:rsid w:val="00253904"/>
    <w:rsid w:val="002542CE"/>
    <w:rsid w:val="00261C85"/>
    <w:rsid w:val="00263199"/>
    <w:rsid w:val="002706B3"/>
    <w:rsid w:val="00274ABC"/>
    <w:rsid w:val="00287830"/>
    <w:rsid w:val="002A58C0"/>
    <w:rsid w:val="002A5E37"/>
    <w:rsid w:val="002B7464"/>
    <w:rsid w:val="002C2A0F"/>
    <w:rsid w:val="002C6931"/>
    <w:rsid w:val="002D35A8"/>
    <w:rsid w:val="002D79A9"/>
    <w:rsid w:val="002E4507"/>
    <w:rsid w:val="002E48A7"/>
    <w:rsid w:val="002E49D2"/>
    <w:rsid w:val="0030291A"/>
    <w:rsid w:val="00304F05"/>
    <w:rsid w:val="0030636E"/>
    <w:rsid w:val="003079CA"/>
    <w:rsid w:val="00313207"/>
    <w:rsid w:val="003151F2"/>
    <w:rsid w:val="00326E1E"/>
    <w:rsid w:val="00332A58"/>
    <w:rsid w:val="0034122F"/>
    <w:rsid w:val="00356CE3"/>
    <w:rsid w:val="0035723E"/>
    <w:rsid w:val="00357370"/>
    <w:rsid w:val="0035757B"/>
    <w:rsid w:val="0036087B"/>
    <w:rsid w:val="00362B68"/>
    <w:rsid w:val="0039730A"/>
    <w:rsid w:val="003A1564"/>
    <w:rsid w:val="003A289F"/>
    <w:rsid w:val="003A504C"/>
    <w:rsid w:val="003B5396"/>
    <w:rsid w:val="003B572B"/>
    <w:rsid w:val="003C0693"/>
    <w:rsid w:val="003C5075"/>
    <w:rsid w:val="003D22C9"/>
    <w:rsid w:val="003D7985"/>
    <w:rsid w:val="003E0FFD"/>
    <w:rsid w:val="003F1B56"/>
    <w:rsid w:val="003F301D"/>
    <w:rsid w:val="004004A9"/>
    <w:rsid w:val="004123F6"/>
    <w:rsid w:val="00412B40"/>
    <w:rsid w:val="0041682D"/>
    <w:rsid w:val="00423936"/>
    <w:rsid w:val="00423A85"/>
    <w:rsid w:val="00442D84"/>
    <w:rsid w:val="004501AB"/>
    <w:rsid w:val="0045087D"/>
    <w:rsid w:val="0045355D"/>
    <w:rsid w:val="00463900"/>
    <w:rsid w:val="004712C2"/>
    <w:rsid w:val="004725DC"/>
    <w:rsid w:val="004741CF"/>
    <w:rsid w:val="004758F7"/>
    <w:rsid w:val="00477ADD"/>
    <w:rsid w:val="00485532"/>
    <w:rsid w:val="00487D80"/>
    <w:rsid w:val="0049446F"/>
    <w:rsid w:val="004973CE"/>
    <w:rsid w:val="004A7286"/>
    <w:rsid w:val="004B2843"/>
    <w:rsid w:val="004B61C8"/>
    <w:rsid w:val="004B7220"/>
    <w:rsid w:val="004C59ED"/>
    <w:rsid w:val="004C6F2C"/>
    <w:rsid w:val="004C7320"/>
    <w:rsid w:val="004E075D"/>
    <w:rsid w:val="004E1AD1"/>
    <w:rsid w:val="004E27F1"/>
    <w:rsid w:val="004E2B5A"/>
    <w:rsid w:val="004E4D55"/>
    <w:rsid w:val="005005E3"/>
    <w:rsid w:val="00521C90"/>
    <w:rsid w:val="005239F6"/>
    <w:rsid w:val="00524BBE"/>
    <w:rsid w:val="005254D2"/>
    <w:rsid w:val="005273AA"/>
    <w:rsid w:val="00542F74"/>
    <w:rsid w:val="00551126"/>
    <w:rsid w:val="005540E0"/>
    <w:rsid w:val="00554557"/>
    <w:rsid w:val="00555E0B"/>
    <w:rsid w:val="00556DBE"/>
    <w:rsid w:val="00563F00"/>
    <w:rsid w:val="00570AAC"/>
    <w:rsid w:val="005741DC"/>
    <w:rsid w:val="00583BA6"/>
    <w:rsid w:val="00594646"/>
    <w:rsid w:val="005D13F0"/>
    <w:rsid w:val="005D56EA"/>
    <w:rsid w:val="005F486F"/>
    <w:rsid w:val="006142BC"/>
    <w:rsid w:val="006258EF"/>
    <w:rsid w:val="0063488F"/>
    <w:rsid w:val="00644415"/>
    <w:rsid w:val="006525D1"/>
    <w:rsid w:val="006562A5"/>
    <w:rsid w:val="006568BB"/>
    <w:rsid w:val="00675CF0"/>
    <w:rsid w:val="00684885"/>
    <w:rsid w:val="006A6AE3"/>
    <w:rsid w:val="006C2745"/>
    <w:rsid w:val="006E77EF"/>
    <w:rsid w:val="006F1E55"/>
    <w:rsid w:val="00715555"/>
    <w:rsid w:val="00717B77"/>
    <w:rsid w:val="007214AC"/>
    <w:rsid w:val="007258D1"/>
    <w:rsid w:val="00741C1A"/>
    <w:rsid w:val="00762ECE"/>
    <w:rsid w:val="00770A05"/>
    <w:rsid w:val="00771A3F"/>
    <w:rsid w:val="00771E48"/>
    <w:rsid w:val="0077314D"/>
    <w:rsid w:val="007745CC"/>
    <w:rsid w:val="00786207"/>
    <w:rsid w:val="00787A4C"/>
    <w:rsid w:val="0079381F"/>
    <w:rsid w:val="00797955"/>
    <w:rsid w:val="007A0F6D"/>
    <w:rsid w:val="007A20CB"/>
    <w:rsid w:val="007B27AF"/>
    <w:rsid w:val="007C267B"/>
    <w:rsid w:val="007D4E5D"/>
    <w:rsid w:val="007E17E7"/>
    <w:rsid w:val="007E7740"/>
    <w:rsid w:val="007F4488"/>
    <w:rsid w:val="007F4F22"/>
    <w:rsid w:val="00801205"/>
    <w:rsid w:val="00804EE9"/>
    <w:rsid w:val="00805562"/>
    <w:rsid w:val="00806901"/>
    <w:rsid w:val="00813718"/>
    <w:rsid w:val="00816130"/>
    <w:rsid w:val="00821805"/>
    <w:rsid w:val="00825B2B"/>
    <w:rsid w:val="00830AA4"/>
    <w:rsid w:val="00852083"/>
    <w:rsid w:val="0086688C"/>
    <w:rsid w:val="00867839"/>
    <w:rsid w:val="00870C19"/>
    <w:rsid w:val="00877853"/>
    <w:rsid w:val="00886151"/>
    <w:rsid w:val="00890C7B"/>
    <w:rsid w:val="008A2944"/>
    <w:rsid w:val="008B5CBE"/>
    <w:rsid w:val="008C7F66"/>
    <w:rsid w:val="008D1456"/>
    <w:rsid w:val="008D2D08"/>
    <w:rsid w:val="008E6D1E"/>
    <w:rsid w:val="008F6355"/>
    <w:rsid w:val="008F6CC5"/>
    <w:rsid w:val="00900694"/>
    <w:rsid w:val="009017D1"/>
    <w:rsid w:val="00905961"/>
    <w:rsid w:val="0093679C"/>
    <w:rsid w:val="00940C45"/>
    <w:rsid w:val="009457A7"/>
    <w:rsid w:val="00946D65"/>
    <w:rsid w:val="0097396C"/>
    <w:rsid w:val="009756E9"/>
    <w:rsid w:val="00985AB4"/>
    <w:rsid w:val="009946C4"/>
    <w:rsid w:val="00994DE0"/>
    <w:rsid w:val="009B3E28"/>
    <w:rsid w:val="009C1658"/>
    <w:rsid w:val="009F03EE"/>
    <w:rsid w:val="009F433E"/>
    <w:rsid w:val="00A00DEF"/>
    <w:rsid w:val="00A066C7"/>
    <w:rsid w:val="00A07787"/>
    <w:rsid w:val="00A107C4"/>
    <w:rsid w:val="00A16332"/>
    <w:rsid w:val="00A1774F"/>
    <w:rsid w:val="00A20833"/>
    <w:rsid w:val="00A23807"/>
    <w:rsid w:val="00A3250E"/>
    <w:rsid w:val="00A34C23"/>
    <w:rsid w:val="00A439E5"/>
    <w:rsid w:val="00A43BAC"/>
    <w:rsid w:val="00A5053E"/>
    <w:rsid w:val="00A51A31"/>
    <w:rsid w:val="00A52A7E"/>
    <w:rsid w:val="00A61303"/>
    <w:rsid w:val="00A6312C"/>
    <w:rsid w:val="00A70702"/>
    <w:rsid w:val="00A71863"/>
    <w:rsid w:val="00A831E5"/>
    <w:rsid w:val="00AB5B0F"/>
    <w:rsid w:val="00AD2427"/>
    <w:rsid w:val="00AD5372"/>
    <w:rsid w:val="00AF29DA"/>
    <w:rsid w:val="00AF61AD"/>
    <w:rsid w:val="00B002DB"/>
    <w:rsid w:val="00B02CA9"/>
    <w:rsid w:val="00B126CE"/>
    <w:rsid w:val="00B17FC3"/>
    <w:rsid w:val="00B205F0"/>
    <w:rsid w:val="00B22EC2"/>
    <w:rsid w:val="00B25B34"/>
    <w:rsid w:val="00B33D66"/>
    <w:rsid w:val="00B36FA2"/>
    <w:rsid w:val="00B37D98"/>
    <w:rsid w:val="00B41DF6"/>
    <w:rsid w:val="00B42404"/>
    <w:rsid w:val="00B44C5E"/>
    <w:rsid w:val="00B472C2"/>
    <w:rsid w:val="00B5148F"/>
    <w:rsid w:val="00B534EB"/>
    <w:rsid w:val="00B64663"/>
    <w:rsid w:val="00B66CF6"/>
    <w:rsid w:val="00B75E84"/>
    <w:rsid w:val="00B84CFD"/>
    <w:rsid w:val="00B85EBF"/>
    <w:rsid w:val="00BA1616"/>
    <w:rsid w:val="00BB06A9"/>
    <w:rsid w:val="00BB2273"/>
    <w:rsid w:val="00BC1775"/>
    <w:rsid w:val="00BC1B90"/>
    <w:rsid w:val="00BD01D2"/>
    <w:rsid w:val="00BD1745"/>
    <w:rsid w:val="00BF0B5B"/>
    <w:rsid w:val="00BF4696"/>
    <w:rsid w:val="00C040D1"/>
    <w:rsid w:val="00C072D5"/>
    <w:rsid w:val="00C275B5"/>
    <w:rsid w:val="00C55336"/>
    <w:rsid w:val="00C67DED"/>
    <w:rsid w:val="00C837A3"/>
    <w:rsid w:val="00C83C27"/>
    <w:rsid w:val="00C94B9A"/>
    <w:rsid w:val="00CA1A0B"/>
    <w:rsid w:val="00CA200F"/>
    <w:rsid w:val="00CD2B7C"/>
    <w:rsid w:val="00CE4F52"/>
    <w:rsid w:val="00CF2930"/>
    <w:rsid w:val="00CF6412"/>
    <w:rsid w:val="00D00A8A"/>
    <w:rsid w:val="00D00CAC"/>
    <w:rsid w:val="00D2513B"/>
    <w:rsid w:val="00D33061"/>
    <w:rsid w:val="00D51C3B"/>
    <w:rsid w:val="00D6275A"/>
    <w:rsid w:val="00D8404C"/>
    <w:rsid w:val="00D841F9"/>
    <w:rsid w:val="00DA1497"/>
    <w:rsid w:val="00DA7968"/>
    <w:rsid w:val="00DB51FD"/>
    <w:rsid w:val="00DB6FC4"/>
    <w:rsid w:val="00DB7F75"/>
    <w:rsid w:val="00DC49F3"/>
    <w:rsid w:val="00DE1197"/>
    <w:rsid w:val="00DE1B07"/>
    <w:rsid w:val="00DE2B8E"/>
    <w:rsid w:val="00DE7853"/>
    <w:rsid w:val="00DF3D5D"/>
    <w:rsid w:val="00E047D9"/>
    <w:rsid w:val="00E116F2"/>
    <w:rsid w:val="00E144AF"/>
    <w:rsid w:val="00E1499C"/>
    <w:rsid w:val="00E218C5"/>
    <w:rsid w:val="00E40EDB"/>
    <w:rsid w:val="00E4246B"/>
    <w:rsid w:val="00E57A0F"/>
    <w:rsid w:val="00E62892"/>
    <w:rsid w:val="00E805D5"/>
    <w:rsid w:val="00E8202A"/>
    <w:rsid w:val="00E831E5"/>
    <w:rsid w:val="00E9094F"/>
    <w:rsid w:val="00E935C3"/>
    <w:rsid w:val="00E9538C"/>
    <w:rsid w:val="00EB27DF"/>
    <w:rsid w:val="00EC34FF"/>
    <w:rsid w:val="00ED1167"/>
    <w:rsid w:val="00ED30AA"/>
    <w:rsid w:val="00EE3931"/>
    <w:rsid w:val="00F00127"/>
    <w:rsid w:val="00F1734A"/>
    <w:rsid w:val="00F2134A"/>
    <w:rsid w:val="00F241E5"/>
    <w:rsid w:val="00F300BB"/>
    <w:rsid w:val="00F46539"/>
    <w:rsid w:val="00F63E52"/>
    <w:rsid w:val="00F64FA0"/>
    <w:rsid w:val="00F662B4"/>
    <w:rsid w:val="00F8446B"/>
    <w:rsid w:val="00F95B5B"/>
    <w:rsid w:val="00FA4EB2"/>
    <w:rsid w:val="00FB415C"/>
    <w:rsid w:val="00FC2EA3"/>
    <w:rsid w:val="00FC5164"/>
    <w:rsid w:val="00FE1925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D837A8-7EB3-4CF0-B194-3B5AAA2A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A05"/>
    <w:pPr>
      <w:spacing w:before="120"/>
      <w:jc w:val="both"/>
    </w:pPr>
    <w:rPr>
      <w:rFonts w:ascii="Calibri" w:eastAsia="Times New Roman" w:hAnsi="Calibri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22B3"/>
    <w:pPr>
      <w:keepNext/>
      <w:keepLines/>
      <w:spacing w:before="600" w:after="360"/>
      <w:outlineLvl w:val="0"/>
    </w:pPr>
    <w:rPr>
      <w:rFonts w:eastAsia="MS Gothic"/>
      <w:b/>
      <w:bCs/>
      <w:color w:val="4F6228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D22B3"/>
    <w:pPr>
      <w:keepNext/>
      <w:keepLines/>
      <w:spacing w:before="360" w:after="240"/>
      <w:outlineLvl w:val="1"/>
    </w:pPr>
    <w:rPr>
      <w:rFonts w:eastAsia="MS Gothic"/>
      <w:b/>
      <w:bCs/>
      <w:color w:val="4F6228"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D22B3"/>
    <w:pPr>
      <w:keepNext/>
      <w:keepLines/>
      <w:spacing w:before="240" w:after="120"/>
      <w:outlineLvl w:val="2"/>
    </w:pPr>
    <w:rPr>
      <w:rFonts w:eastAsia="MS Gothic"/>
      <w:b/>
      <w:bCs/>
      <w:color w:val="4F6228"/>
      <w:sz w:val="22"/>
      <w:szCs w:val="20"/>
      <w:lang w:val="en-US" w:eastAsia="en-US"/>
    </w:rPr>
  </w:style>
  <w:style w:type="paragraph" w:styleId="Titolo4">
    <w:name w:val="heading 4"/>
    <w:basedOn w:val="Normale"/>
    <w:next w:val="Normale"/>
    <w:qFormat/>
    <w:rsid w:val="00137D0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554557"/>
    <w:pPr>
      <w:spacing w:before="240" w:after="60"/>
      <w:jc w:val="left"/>
      <w:outlineLvl w:val="5"/>
    </w:pPr>
    <w:rPr>
      <w:rFonts w:ascii="Times New Roman" w:hAnsi="Times New Roman"/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D22B3"/>
    <w:rPr>
      <w:rFonts w:ascii="Helvetica" w:eastAsia="ヒラギノ角ゴ Pro W3" w:hAnsi="Helvetica"/>
      <w:color w:val="000000"/>
      <w:sz w:val="24"/>
    </w:rPr>
  </w:style>
  <w:style w:type="paragraph" w:customStyle="1" w:styleId="Modulovuoto">
    <w:name w:val="Modulo vuoto"/>
    <w:rsid w:val="000D22B3"/>
    <w:rPr>
      <w:rFonts w:ascii="Helvetica" w:eastAsia="ヒラギノ角ゴ Pro W3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B3"/>
    <w:rPr>
      <w:rFonts w:ascii="Lucida Grande" w:hAnsi="Lucida Grande"/>
      <w:sz w:val="18"/>
      <w:szCs w:val="18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0D22B3"/>
    <w:rPr>
      <w:rFonts w:ascii="Lucida Grande" w:eastAsia="Times New Roman" w:hAnsi="Lucida Grande" w:cs="Lucida Grande"/>
      <w:sz w:val="18"/>
      <w:szCs w:val="18"/>
      <w:lang w:val="en-US" w:eastAsia="en-US"/>
    </w:rPr>
  </w:style>
  <w:style w:type="character" w:customStyle="1" w:styleId="Titolo1Carattere">
    <w:name w:val="Titolo 1 Carattere"/>
    <w:link w:val="Titolo1"/>
    <w:uiPriority w:val="9"/>
    <w:rsid w:val="000D22B3"/>
    <w:rPr>
      <w:rFonts w:ascii="Calibri" w:eastAsia="MS Gothic" w:hAnsi="Calibri" w:cs="Times New Roman"/>
      <w:b/>
      <w:bCs/>
      <w:color w:val="4F6228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rsid w:val="000D22B3"/>
    <w:rPr>
      <w:rFonts w:ascii="Calibri" w:eastAsia="MS Gothic" w:hAnsi="Calibri" w:cs="Times New Roman"/>
      <w:b/>
      <w:bCs/>
      <w:color w:val="4F6228"/>
      <w:sz w:val="26"/>
      <w:szCs w:val="26"/>
      <w:lang w:val="en-US" w:eastAsia="en-US"/>
    </w:rPr>
  </w:style>
  <w:style w:type="character" w:customStyle="1" w:styleId="Titolo3Carattere">
    <w:name w:val="Titolo 3 Carattere"/>
    <w:link w:val="Titolo3"/>
    <w:uiPriority w:val="9"/>
    <w:rsid w:val="000D22B3"/>
    <w:rPr>
      <w:rFonts w:ascii="Calibri" w:eastAsia="MS Gothic" w:hAnsi="Calibri" w:cs="Times New Roman"/>
      <w:b/>
      <w:bCs/>
      <w:color w:val="4F6228"/>
      <w:sz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D22B3"/>
    <w:pPr>
      <w:tabs>
        <w:tab w:val="center" w:pos="4819"/>
        <w:tab w:val="right" w:pos="9638"/>
      </w:tabs>
      <w:spacing w:before="0"/>
    </w:pPr>
    <w:rPr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0D22B3"/>
    <w:rPr>
      <w:rFonts w:ascii="Calibri" w:eastAsia="Times New Roman" w:hAnsi="Calibri" w:cs="Times New Roman"/>
      <w:sz w:val="20"/>
      <w:lang w:val="en-US" w:eastAsia="en-US"/>
    </w:rPr>
  </w:style>
  <w:style w:type="character" w:styleId="Numeropagina">
    <w:name w:val="page number"/>
    <w:uiPriority w:val="99"/>
    <w:semiHidden/>
    <w:unhideWhenUsed/>
    <w:rsid w:val="000D22B3"/>
  </w:style>
  <w:style w:type="paragraph" w:styleId="Sommario1">
    <w:name w:val="toc 1"/>
    <w:basedOn w:val="Normale"/>
    <w:next w:val="Normale"/>
    <w:autoRedefine/>
    <w:uiPriority w:val="39"/>
    <w:unhideWhenUsed/>
    <w:rsid w:val="006258EF"/>
  </w:style>
  <w:style w:type="paragraph" w:styleId="Sommario2">
    <w:name w:val="toc 2"/>
    <w:basedOn w:val="Normale"/>
    <w:next w:val="Normale"/>
    <w:autoRedefine/>
    <w:uiPriority w:val="39"/>
    <w:unhideWhenUsed/>
    <w:rsid w:val="006258EF"/>
    <w:pPr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6258EF"/>
    <w:pPr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6258EF"/>
    <w:pPr>
      <w:ind w:left="600"/>
    </w:pPr>
  </w:style>
  <w:style w:type="paragraph" w:styleId="Sommario5">
    <w:name w:val="toc 5"/>
    <w:basedOn w:val="Normale"/>
    <w:next w:val="Normale"/>
    <w:autoRedefine/>
    <w:uiPriority w:val="39"/>
    <w:unhideWhenUsed/>
    <w:rsid w:val="006258EF"/>
    <w:pPr>
      <w:ind w:left="800"/>
    </w:pPr>
  </w:style>
  <w:style w:type="paragraph" w:styleId="Sommario6">
    <w:name w:val="toc 6"/>
    <w:basedOn w:val="Normale"/>
    <w:next w:val="Normale"/>
    <w:autoRedefine/>
    <w:uiPriority w:val="39"/>
    <w:unhideWhenUsed/>
    <w:rsid w:val="006258EF"/>
    <w:pPr>
      <w:ind w:left="1000"/>
    </w:pPr>
  </w:style>
  <w:style w:type="paragraph" w:styleId="Sommario7">
    <w:name w:val="toc 7"/>
    <w:basedOn w:val="Normale"/>
    <w:next w:val="Normale"/>
    <w:autoRedefine/>
    <w:uiPriority w:val="39"/>
    <w:unhideWhenUsed/>
    <w:rsid w:val="006258EF"/>
    <w:pPr>
      <w:ind w:left="1200"/>
    </w:pPr>
  </w:style>
  <w:style w:type="paragraph" w:styleId="Sommario8">
    <w:name w:val="toc 8"/>
    <w:basedOn w:val="Normale"/>
    <w:next w:val="Normale"/>
    <w:autoRedefine/>
    <w:uiPriority w:val="39"/>
    <w:unhideWhenUsed/>
    <w:rsid w:val="006258EF"/>
    <w:pPr>
      <w:ind w:left="1400"/>
    </w:pPr>
  </w:style>
  <w:style w:type="paragraph" w:styleId="Sommario9">
    <w:name w:val="toc 9"/>
    <w:basedOn w:val="Normale"/>
    <w:next w:val="Normale"/>
    <w:autoRedefine/>
    <w:uiPriority w:val="39"/>
    <w:unhideWhenUsed/>
    <w:rsid w:val="006258EF"/>
    <w:pPr>
      <w:ind w:left="1600"/>
    </w:pPr>
  </w:style>
  <w:style w:type="paragraph" w:styleId="Intestazione">
    <w:name w:val="header"/>
    <w:basedOn w:val="Normale"/>
    <w:link w:val="IntestazioneCarattere"/>
    <w:uiPriority w:val="99"/>
    <w:unhideWhenUsed/>
    <w:rsid w:val="00B33D66"/>
    <w:pPr>
      <w:tabs>
        <w:tab w:val="center" w:pos="4819"/>
        <w:tab w:val="right" w:pos="9638"/>
      </w:tabs>
      <w:spacing w:before="0"/>
    </w:pPr>
    <w:rPr>
      <w:szCs w:val="20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B33D66"/>
    <w:rPr>
      <w:rFonts w:ascii="Calibri" w:eastAsia="Times New Roman" w:hAnsi="Calibri" w:cs="Times New Roman"/>
      <w:sz w:val="20"/>
      <w:lang w:val="en-US" w:eastAsia="en-US"/>
    </w:rPr>
  </w:style>
  <w:style w:type="paragraph" w:styleId="NormaleWeb">
    <w:name w:val="Normal (Web)"/>
    <w:basedOn w:val="Normale"/>
    <w:rsid w:val="00137D0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qFormat/>
    <w:rsid w:val="00137D00"/>
    <w:rPr>
      <w:b/>
      <w:bCs/>
    </w:rPr>
  </w:style>
  <w:style w:type="character" w:styleId="Collegamentoipertestuale">
    <w:name w:val="Hyperlink"/>
    <w:rsid w:val="00137D00"/>
    <w:rPr>
      <w:color w:val="0000FF"/>
      <w:u w:val="single"/>
    </w:rPr>
  </w:style>
  <w:style w:type="character" w:styleId="Enfasicorsivo">
    <w:name w:val="Emphasis"/>
    <w:qFormat/>
    <w:rsid w:val="00137D00"/>
    <w:rPr>
      <w:i/>
      <w:iCs/>
    </w:rPr>
  </w:style>
  <w:style w:type="paragraph" w:styleId="Testonotaapidipagina">
    <w:name w:val="footnote text"/>
    <w:basedOn w:val="Normale"/>
    <w:semiHidden/>
    <w:rsid w:val="00137D00"/>
    <w:rPr>
      <w:szCs w:val="20"/>
    </w:rPr>
  </w:style>
  <w:style w:type="character" w:styleId="Rimandonotaapidipagina">
    <w:name w:val="footnote reference"/>
    <w:semiHidden/>
    <w:rsid w:val="00137D00"/>
    <w:rPr>
      <w:vertAlign w:val="superscript"/>
    </w:rPr>
  </w:style>
  <w:style w:type="table" w:styleId="Grigliatabella">
    <w:name w:val="Table Grid"/>
    <w:basedOn w:val="Tabellanormale"/>
    <w:rsid w:val="0080120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cup1">
    <w:name w:val="numcup1"/>
    <w:basedOn w:val="Normale"/>
    <w:rsid w:val="00554557"/>
    <w:pPr>
      <w:shd w:val="clear" w:color="auto" w:fill="000080"/>
      <w:spacing w:before="0"/>
    </w:pPr>
    <w:rPr>
      <w:rFonts w:ascii="Times New Roman" w:hAnsi="Times New Roman"/>
      <w:color w:val="FFFFFF"/>
      <w:sz w:val="24"/>
    </w:rPr>
  </w:style>
  <w:style w:type="paragraph" w:styleId="Corpodeltesto">
    <w:name w:val="Corpo del testo"/>
    <w:basedOn w:val="Normale"/>
    <w:rsid w:val="00554557"/>
    <w:pPr>
      <w:spacing w:before="0"/>
      <w:jc w:val="center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554557"/>
    <w:pPr>
      <w:spacing w:before="0"/>
      <w:ind w:left="567" w:hanging="567"/>
    </w:pPr>
    <w:rPr>
      <w:rFonts w:ascii="Arial" w:hAnsi="Arial"/>
      <w:sz w:val="24"/>
      <w:szCs w:val="20"/>
    </w:rPr>
  </w:style>
  <w:style w:type="paragraph" w:styleId="Corpodeltesto2">
    <w:name w:val="Body Text 2"/>
    <w:basedOn w:val="Normale"/>
    <w:rsid w:val="00554557"/>
    <w:pPr>
      <w:spacing w:before="0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rsid w:val="00554557"/>
    <w:pPr>
      <w:spacing w:before="0"/>
      <w:ind w:left="284"/>
    </w:pPr>
    <w:rPr>
      <w:rFonts w:ascii="Arial" w:hAnsi="Arial"/>
      <w:sz w:val="24"/>
      <w:szCs w:val="20"/>
    </w:rPr>
  </w:style>
  <w:style w:type="paragraph" w:styleId="Rientrocorpodeltesto2">
    <w:name w:val="Body Text Indent 2"/>
    <w:basedOn w:val="Normale"/>
    <w:rsid w:val="00554557"/>
    <w:pPr>
      <w:spacing w:before="0" w:after="120" w:line="480" w:lineRule="auto"/>
      <w:ind w:left="283"/>
      <w:jc w:val="left"/>
    </w:pPr>
    <w:rPr>
      <w:rFonts w:ascii="Times New Roman" w:hAnsi="Times New Roman"/>
      <w:sz w:val="24"/>
    </w:rPr>
  </w:style>
  <w:style w:type="paragraph" w:styleId="Corpodeltesto3">
    <w:name w:val="Body Text 3"/>
    <w:basedOn w:val="Normale"/>
    <w:rsid w:val="00554557"/>
    <w:pPr>
      <w:spacing w:before="0" w:after="120"/>
      <w:jc w:val="left"/>
    </w:pPr>
    <w:rPr>
      <w:rFonts w:ascii="Times New Roman" w:hAnsi="Times New Roman"/>
      <w:sz w:val="16"/>
      <w:szCs w:val="16"/>
    </w:rPr>
  </w:style>
  <w:style w:type="paragraph" w:styleId="Testodelblocco">
    <w:name w:val="Block Text"/>
    <w:basedOn w:val="Normale"/>
    <w:rsid w:val="00554557"/>
    <w:pPr>
      <w:tabs>
        <w:tab w:val="left" w:pos="-284"/>
      </w:tabs>
      <w:spacing w:before="0" w:after="120"/>
      <w:ind w:left="180" w:right="44" w:hanging="180"/>
    </w:pPr>
    <w:rPr>
      <w:rFonts w:ascii="Arial" w:hAnsi="Arial" w:cs="Arial"/>
      <w:sz w:val="22"/>
    </w:rPr>
  </w:style>
  <w:style w:type="paragraph" w:customStyle="1" w:styleId="msolistparagraph0">
    <w:name w:val="msolistparagraph"/>
    <w:basedOn w:val="Normale"/>
    <w:rsid w:val="00583BA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M27">
    <w:name w:val="CM27"/>
    <w:basedOn w:val="Normale"/>
    <w:next w:val="Normale"/>
    <w:rsid w:val="00770A05"/>
    <w:pPr>
      <w:widowControl w:val="0"/>
      <w:suppressAutoHyphens/>
      <w:autoSpaceDE w:val="0"/>
      <w:spacing w:before="0" w:after="248"/>
      <w:jc w:val="left"/>
    </w:pPr>
    <w:rPr>
      <w:rFonts w:ascii="Arial Narrow" w:eastAsia="Arial" w:hAnsi="Arial Narrow" w:cs="Arial Narro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7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15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2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07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78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0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5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27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4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0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50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8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7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0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9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3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9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3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5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7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14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7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8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5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1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98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27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93356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71714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46113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76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B05AF-7D74-4C1A-8E93-E4097CF4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– Schema di offerta economica</vt:lpstr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– Schema di offerta economica</dc:title>
  <dc:subject/>
  <dc:creator>IRCCS Bari - Istituto Tumori - Area Tecnica</dc:creator>
  <cp:keywords/>
  <cp:lastModifiedBy>Donvito Martino</cp:lastModifiedBy>
  <cp:revision>2</cp:revision>
  <cp:lastPrinted>2023-02-22T12:39:00Z</cp:lastPrinted>
  <dcterms:created xsi:type="dcterms:W3CDTF">2024-12-11T11:34:00Z</dcterms:created>
  <dcterms:modified xsi:type="dcterms:W3CDTF">2024-12-11T11:34:00Z</dcterms:modified>
</cp:coreProperties>
</file>