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56" w:rsidRPr="00CE6889" w:rsidRDefault="00987856" w:rsidP="00987856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0"/>
          <w:szCs w:val="30"/>
          <w:lang w:eastAsia="it-IT"/>
        </w:rPr>
      </w:pPr>
      <w:r w:rsidRPr="00987856">
        <w:rPr>
          <w:rFonts w:ascii="Verdana" w:eastAsia="Times New Roman" w:hAnsi="Verdana" w:cs="Times New Roman"/>
          <w:b/>
          <w:bCs/>
          <w:sz w:val="30"/>
          <w:szCs w:val="30"/>
          <w:lang w:eastAsia="it-IT"/>
        </w:rPr>
        <w:t xml:space="preserve">Adempimenti ex art. 4 "Trasparenza dei dati" L. n. </w:t>
      </w:r>
      <w:r w:rsidRPr="00CE6889">
        <w:rPr>
          <w:rFonts w:ascii="Verdana" w:eastAsia="Times New Roman" w:hAnsi="Verdana" w:cs="Times New Roman"/>
          <w:b/>
          <w:bCs/>
          <w:sz w:val="30"/>
          <w:szCs w:val="30"/>
          <w:lang w:eastAsia="it-IT"/>
        </w:rPr>
        <w:t>2</w:t>
      </w:r>
      <w:r w:rsidRPr="00987856">
        <w:rPr>
          <w:rFonts w:ascii="Verdana" w:eastAsia="Times New Roman" w:hAnsi="Verdana" w:cs="Times New Roman"/>
          <w:b/>
          <w:bCs/>
          <w:sz w:val="30"/>
          <w:szCs w:val="30"/>
          <w:lang w:eastAsia="it-IT"/>
        </w:rPr>
        <w:t>4/2017 (Legge Gelli)</w:t>
      </w:r>
    </w:p>
    <w:p w:rsidR="00987856" w:rsidRDefault="00987856" w:rsidP="00987856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2C74"/>
          <w:sz w:val="30"/>
          <w:szCs w:val="30"/>
          <w:lang w:eastAsia="it-IT"/>
        </w:rPr>
      </w:pPr>
    </w:p>
    <w:p w:rsidR="00987856" w:rsidRDefault="00987856" w:rsidP="00987856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"Disposizioni in materia di sicurezza delle cure e della persona assistita, </w:t>
      </w:r>
      <w:proofErr w:type="spellStart"/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nonchè</w:t>
      </w:r>
      <w:proofErr w:type="spellEnd"/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in materia di responsabilità professionale degli esercenti le professioni sanitarie"</w:t>
      </w:r>
    </w:p>
    <w:p w:rsidR="00987856" w:rsidRDefault="00987856" w:rsidP="00987856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br/>
        <w:t>L'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AOUC Policlinico di Bari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, al pari delle altre Aziende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del SSN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, gestisce in proprio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mdiante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lo strumento dell’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autoritenzione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del rischio,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le richieste risarcitorie per responsabilità civile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, 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secondo quanto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espressamente 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previsto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in tal senso 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dall'art. 10 della legge 24/2017 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(Legge 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Gelli).</w:t>
      </w:r>
    </w:p>
    <w:p w:rsidR="00987856" w:rsidRDefault="00987856" w:rsidP="00987856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L'art. 4 della L.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24/2017 ha introdotto inoltre </w:t>
      </w:r>
      <w:r w:rsidRPr="00987856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l'obbligo per le strutture sanitarie di pubblicare sul proprio sito Internet i dati relativi a tutti i risarcimenti erogati nell'ultimo quinquennio. </w:t>
      </w:r>
    </w:p>
    <w:p w:rsidR="00987856" w:rsidRDefault="00987856" w:rsidP="00987856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In tutti questi anni l’AO Policlinico h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a sempre correttamente provveduto a pubblicare e rendere pubblici tutti i provvedimenti deliberati di presa d’atto delle intervenute transazioni, dalle quali poter ricostruire gli importi liquidati.</w:t>
      </w:r>
    </w:p>
    <w:p w:rsidR="00987856" w:rsidRDefault="00987856" w:rsidP="00987856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Al solo fine di renderne più agevole la consultazione, si offre il seguente prospetto riepilogativo suddiviso per annualità, con indicazione dei rispettivi provvedimenti deliberativi di riferimento:</w:t>
      </w:r>
    </w:p>
    <w:p w:rsidR="00987856" w:rsidRDefault="00987856" w:rsidP="00987856">
      <w:pPr>
        <w:shd w:val="clear" w:color="auto" w:fill="FFFFFF"/>
        <w:spacing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700"/>
        <w:gridCol w:w="2020"/>
      </w:tblGrid>
      <w:tr w:rsidR="00F9383C" w:rsidRPr="00F9383C" w:rsidTr="00CE6889">
        <w:trPr>
          <w:trHeight w:val="510"/>
          <w:jc w:val="center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F9383C" w:rsidRPr="00F9383C" w:rsidRDefault="00F9383C" w:rsidP="00F938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b/>
                <w:bCs/>
                <w:sz w:val="19"/>
                <w:szCs w:val="19"/>
                <w:lang w:eastAsia="it-IT"/>
              </w:rPr>
              <w:t>Periodo di riferimento 01.09.2018 - 01.07.2023</w:t>
            </w:r>
          </w:p>
        </w:tc>
      </w:tr>
      <w:tr w:rsidR="00F9383C" w:rsidRPr="00F9383C" w:rsidTr="00CE6889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Anno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Numero deliberazione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Importo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11.500,00 €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22.900,00 €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26.000,00 €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14.500,00 €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250.000,00 €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7.600,00 €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25.000,00 €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18.500,00 €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45.910,50 €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379.785,67 €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65.000,00 €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37.653,07 €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lastRenderedPageBreak/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35.000,00 €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9.640,00 €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30.605,20 €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16.000,00 €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67.000,00 €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75.000,00 €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584,00 €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78.000,00 €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24.900,00 €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7.700,00 €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8.000,00 €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6.700,00 €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2.500,00 €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4.800,00 €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26.613,05 €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150.000,00 €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11.000,00 €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630.170,28 €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5.713,05 €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12.021,66 €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4.672,00 €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10.000,00 €</w:t>
            </w:r>
          </w:p>
        </w:tc>
      </w:tr>
      <w:tr w:rsidR="00F9383C" w:rsidRPr="00F9383C" w:rsidTr="00CE6889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3C" w:rsidRPr="00F9383C" w:rsidRDefault="00F9383C" w:rsidP="00F9383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</w:pPr>
            <w:r w:rsidRPr="00F9383C">
              <w:rPr>
                <w:rFonts w:ascii="Verdana" w:eastAsia="Times New Roman" w:hAnsi="Verdana" w:cs="Calibri"/>
                <w:color w:val="000000"/>
                <w:sz w:val="19"/>
                <w:szCs w:val="19"/>
                <w:lang w:eastAsia="it-IT"/>
              </w:rPr>
              <w:t>4.800,00 €</w:t>
            </w:r>
          </w:p>
        </w:tc>
      </w:tr>
    </w:tbl>
    <w:p w:rsidR="00252D66" w:rsidRPr="00F9383C" w:rsidRDefault="00252D66">
      <w:pPr>
        <w:rPr>
          <w:sz w:val="19"/>
          <w:szCs w:val="19"/>
        </w:rPr>
      </w:pPr>
    </w:p>
    <w:sectPr w:rsidR="00252D66" w:rsidRPr="00F93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6831"/>
    <w:multiLevelType w:val="multilevel"/>
    <w:tmpl w:val="CD2EF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E7AAF"/>
    <w:multiLevelType w:val="multilevel"/>
    <w:tmpl w:val="CCB2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56"/>
    <w:rsid w:val="00252D66"/>
    <w:rsid w:val="00987856"/>
    <w:rsid w:val="00CE6889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E1FF"/>
  <w15:chartTrackingRefBased/>
  <w15:docId w15:val="{577EFF4F-CE89-496C-B065-A0B96260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87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785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785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8785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 LANDRO</dc:creator>
  <cp:keywords/>
  <dc:description/>
  <cp:lastModifiedBy>MICHELE DI LANDRO</cp:lastModifiedBy>
  <cp:revision>1</cp:revision>
  <cp:lastPrinted>2023-07-17T13:11:00Z</cp:lastPrinted>
  <dcterms:created xsi:type="dcterms:W3CDTF">2023-07-17T12:39:00Z</dcterms:created>
  <dcterms:modified xsi:type="dcterms:W3CDTF">2023-07-17T13:25:00Z</dcterms:modified>
</cp:coreProperties>
</file>